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АННОТАЦИЯ К РАБОЧЕЙ ПРОГРАММЕ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профессионального модуля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ПМ 01.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Подготовительно-сварочные работы и контроль качества сварных швов после сварки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  <w:t xml:space="preserve">Рабочая  программа профессионального модуля индекс ПМ 01 в учебном плане Подготовительно-сварочные работы и контроль качества сварных швов после сварки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является частью ППКРС в соответствии с Федеральным государственным образовательным стандартом профессии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15.01.05.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Сварщик (ручной и частично механизированной сварки (наплавки)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утв.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приказом 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Министерства образования и науки РФ от 29 января 2016 г. N 50, Зарегистрировано в Минюсте РФ 24 февраля 2016 г. Регистрационный № 41197 в части освоения основного вида профессиональной деятельности (ВПД): Проведение подготовительных, сборочных операций перед сваркой, зачистка и контроль сварных швов после сварки общих (ОК) и соответствующих профессиональных компетенций (ПК).</w:t>
      </w:r>
    </w:p>
    <w:tbl>
      <w:tblPr>
        <w:tblInd w:w="108" w:type="dxa"/>
      </w:tblPr>
      <w:tblGrid>
        <w:gridCol w:w="1244"/>
        <w:gridCol w:w="8342"/>
      </w:tblGrid>
      <w:tr>
        <w:trPr>
          <w:trHeight w:val="278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5"/>
                <w:position w:val="0"/>
                <w:sz w:val="24"/>
                <w:shd w:fill="auto" w:val="clear"/>
              </w:rPr>
              <w:t xml:space="preserve">Код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компетенций</w:t>
            </w:r>
          </w:p>
        </w:tc>
      </w:tr>
      <w:tr>
        <w:trPr>
          <w:trHeight w:val="551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сущность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социальную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значимость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будущей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профессии,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проявлять</w:t>
            </w:r>
          </w:p>
          <w:p>
            <w:pPr>
              <w:tabs>
                <w:tab w:val="left" w:pos="3420" w:leader="none"/>
              </w:tabs>
              <w:suppressAutoHyphens w:val="true"/>
              <w:spacing w:before="2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ней устойчивый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интерес.</w:t>
              <w:tab/>
            </w:r>
          </w:p>
        </w:tc>
      </w:tr>
      <w:tr>
        <w:trPr>
          <w:trHeight w:val="551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Организовывать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-8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собственную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деятельность,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исходя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цели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способов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ее</w:t>
            </w:r>
          </w:p>
          <w:p>
            <w:pPr>
              <w:suppressAutoHyphens w:val="true"/>
              <w:spacing w:before="2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достижения,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определенных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руководителем.</w:t>
            </w:r>
          </w:p>
        </w:tc>
      </w:tr>
      <w:tr>
        <w:trPr>
          <w:trHeight w:val="830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рабочую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ситуацию,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осуществлять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текущий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итоговый</w:t>
            </w:r>
          </w:p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контроль,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оценку</w:t>
            </w:r>
            <w:r>
              <w:rPr>
                <w:rFonts w:ascii="Times New Roman" w:hAnsi="Times New Roman" w:cs="Times New Roman" w:eastAsia="Times New Roman"/>
                <w:color w:val="auto"/>
                <w:spacing w:val="-1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коррекцию</w:t>
            </w:r>
            <w:r>
              <w:rPr>
                <w:rFonts w:ascii="Times New Roman" w:hAnsi="Times New Roman" w:cs="Times New Roman" w:eastAsia="Times New Roman"/>
                <w:color w:val="auto"/>
                <w:spacing w:val="-1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собственной деятельности,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нести ответственность за результаты своей работы.</w:t>
            </w:r>
          </w:p>
        </w:tc>
      </w:tr>
      <w:tr>
        <w:trPr>
          <w:trHeight w:val="551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Осуществлять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поиск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информации,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необходимой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эффективного</w:t>
            </w:r>
          </w:p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профессиональных</w:t>
            </w:r>
            <w:r>
              <w:rPr>
                <w:rFonts w:ascii="Times New Roman" w:hAnsi="Times New Roman" w:cs="Times New Roman" w:eastAsia="Times New Roman"/>
                <w:color w:val="auto"/>
                <w:spacing w:val="-8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задач.</w:t>
            </w:r>
          </w:p>
        </w:tc>
      </w:tr>
      <w:tr>
        <w:trPr>
          <w:trHeight w:val="551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информационно-коммуникационные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технологии</w:t>
            </w: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в</w:t>
            </w:r>
          </w:p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профессиональной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деятельности.</w:t>
            </w:r>
          </w:p>
        </w:tc>
      </w:tr>
      <w:tr>
        <w:trPr>
          <w:trHeight w:val="273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Работать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команде,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эффективно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общаться с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коллегами,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руководством.</w:t>
            </w:r>
          </w:p>
        </w:tc>
      </w:tr>
      <w:tr>
        <w:trPr>
          <w:trHeight w:val="273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5"/>
                <w:position w:val="0"/>
                <w:sz w:val="24"/>
                <w:shd w:fill="auto" w:val="clear"/>
              </w:rPr>
              <w:t xml:space="preserve">Код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видов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деятельности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6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профессиональных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компетенций</w:t>
            </w:r>
          </w:p>
        </w:tc>
      </w:tr>
      <w:tr>
        <w:trPr>
          <w:trHeight w:val="551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ВД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Проведение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32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подготовительных,</w:t>
            </w:r>
            <w:r>
              <w:rPr>
                <w:rFonts w:ascii="Times New Roman" w:hAnsi="Times New Roman" w:cs="Times New Roman" w:eastAsia="Times New Roman"/>
                <w:color w:val="auto"/>
                <w:spacing w:val="35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сборочных</w:t>
            </w:r>
            <w:r>
              <w:rPr>
                <w:rFonts w:ascii="Times New Roman" w:hAnsi="Times New Roman" w:cs="Times New Roman" w:eastAsia="Times New Roman"/>
                <w:color w:val="auto"/>
                <w:spacing w:val="3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операций</w:t>
            </w:r>
            <w:r>
              <w:rPr>
                <w:rFonts w:ascii="Times New Roman" w:hAnsi="Times New Roman" w:cs="Times New Roman" w:eastAsia="Times New Roman"/>
                <w:color w:val="auto"/>
                <w:spacing w:val="34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перед</w:t>
            </w:r>
            <w:r>
              <w:rPr>
                <w:rFonts w:ascii="Times New Roman" w:hAnsi="Times New Roman" w:cs="Times New Roman" w:eastAsia="Times New Roman"/>
                <w:color w:val="auto"/>
                <w:spacing w:val="33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сваркой,</w:t>
            </w:r>
          </w:p>
          <w:p>
            <w:pPr>
              <w:suppressAutoHyphens w:val="true"/>
              <w:spacing w:before="2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зачистка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сварных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швов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после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сварки.</w:t>
            </w:r>
          </w:p>
        </w:tc>
      </w:tr>
      <w:tr>
        <w:trPr>
          <w:trHeight w:val="278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1.1.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Читать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чертежи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средней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сложности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сложных</w:t>
            </w: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сварных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металлоконструкций.</w:t>
            </w:r>
          </w:p>
        </w:tc>
      </w:tr>
      <w:tr>
        <w:trPr>
          <w:trHeight w:val="551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1.2.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конструкторскую,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нормативно-техническую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производственно-</w:t>
            </w:r>
          </w:p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технологическую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документацию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сварке.</w:t>
            </w:r>
          </w:p>
        </w:tc>
      </w:tr>
      <w:tr>
        <w:trPr>
          <w:trHeight w:val="551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1.3.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Проверять</w:t>
            </w:r>
            <w:r>
              <w:rPr>
                <w:rFonts w:ascii="Times New Roman" w:hAnsi="Times New Roman" w:cs="Times New Roman" w:eastAsia="Times New Roman"/>
                <w:color w:val="auto"/>
                <w:spacing w:val="-1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оснащенность,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работоспособность,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исправность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осуществлять</w:t>
            </w:r>
          </w:p>
          <w:p>
            <w:pPr>
              <w:suppressAutoHyphens w:val="true"/>
              <w:spacing w:before="2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настройку</w:t>
            </w:r>
            <w:r>
              <w:rPr>
                <w:rFonts w:ascii="Times New Roman" w:hAnsi="Times New Roman" w:cs="Times New Roman" w:eastAsia="Times New Roman"/>
                <w:color w:val="auto"/>
                <w:spacing w:val="-1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оборудования поста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различных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способов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сварки.</w:t>
            </w:r>
          </w:p>
        </w:tc>
      </w:tr>
      <w:tr>
        <w:trPr>
          <w:trHeight w:val="552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1.4.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Подготавливать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проверять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сварочные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материалы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различных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способов</w:t>
            </w:r>
          </w:p>
          <w:p>
            <w:pPr>
              <w:suppressAutoHyphens w:val="true"/>
              <w:spacing w:before="3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сварки.</w:t>
            </w:r>
          </w:p>
        </w:tc>
      </w:tr>
      <w:tr>
        <w:trPr>
          <w:trHeight w:val="278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1.5.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сборку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подготовку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элементов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конструкции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сварку.</w:t>
            </w:r>
          </w:p>
        </w:tc>
      </w:tr>
      <w:tr>
        <w:trPr>
          <w:trHeight w:val="441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1.6.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Проводить</w:t>
            </w:r>
            <w:r>
              <w:rPr>
                <w:rFonts w:ascii="Times New Roman" w:hAnsi="Times New Roman" w:cs="Times New Roman" w:eastAsia="Times New Roman"/>
                <w:color w:val="auto"/>
                <w:spacing w:val="-8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подготовки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сборки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элементов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конструкции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сварку.</w:t>
            </w:r>
          </w:p>
        </w:tc>
      </w:tr>
      <w:tr>
        <w:trPr>
          <w:trHeight w:val="551" w:hRule="auto"/>
          <w:jc w:val="left"/>
        </w:trPr>
        <w:tc>
          <w:tcPr>
            <w:tcW w:w="1244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1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4"/>
                <w:shd w:fill="auto" w:val="clear"/>
              </w:rPr>
              <w:t xml:space="preserve">1.7.</w:t>
            </w:r>
          </w:p>
        </w:tc>
        <w:tc>
          <w:tcPr>
            <w:tcW w:w="8342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109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предварительный,</w:t>
            </w:r>
            <w:r>
              <w:rPr>
                <w:rFonts w:ascii="Times New Roman" w:hAnsi="Times New Roman" w:cs="Times New Roman" w:eastAsia="Times New Roman"/>
                <w:color w:val="auto"/>
                <w:spacing w:val="-8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сопутствующий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(межслойный)</w:t>
            </w:r>
            <w:r>
              <w:rPr>
                <w:rFonts w:ascii="Times New Roman" w:hAnsi="Times New Roman" w:cs="Times New Roman" w:eastAsia="Times New Roman"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подогрева</w:t>
            </w:r>
          </w:p>
          <w:p>
            <w:pPr>
              <w:suppressAutoHyphens w:val="true"/>
              <w:spacing w:before="2" w:after="0" w:line="240"/>
              <w:ind w:right="0" w:left="109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металла</w:t>
            </w:r>
          </w:p>
        </w:tc>
      </w:tr>
    </w:tbl>
    <w:p>
      <w:pPr>
        <w:suppressAutoHyphens w:val="true"/>
        <w:spacing w:before="0" w:after="0" w:line="240"/>
        <w:ind w:right="0" w:left="256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1.1.3.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результате освоения профессионального модуля студент должен:</w:t>
      </w:r>
    </w:p>
    <w:tbl>
      <w:tblPr/>
      <w:tblGrid>
        <w:gridCol w:w="1922"/>
        <w:gridCol w:w="7620"/>
      </w:tblGrid>
      <w:tr>
        <w:trPr>
          <w:trHeight w:val="985" w:hRule="auto"/>
          <w:jc w:val="left"/>
        </w:trPr>
        <w:tc>
          <w:tcPr>
            <w:tcW w:w="1922" w:type="dxa"/>
            <w:tcBorders>
              <w:top w:val="single" w:color="000009" w:sz="5"/>
              <w:left w:val="single" w:color="000009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практический опыт (ПО) в</w:t>
            </w:r>
          </w:p>
        </w:tc>
        <w:tc>
          <w:tcPr>
            <w:tcW w:w="7620" w:type="dxa"/>
            <w:tcBorders>
              <w:top w:val="single" w:color="000009" w:sz="5"/>
              <w:left w:val="single" w:color="000009" w:sz="5"/>
              <w:bottom w:val="single" w:color="000000" w:sz="5"/>
              <w:right w:val="single" w:color="000009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выполнении типовых слесарных операций, применяемых при подготовке деталей перед сваркой;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выполнении сборки элементов конструкции (изделий, узлов, деталей) под сварку с применением сборочных приспособлений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выполнении сборки элементов конструкции (изделий, узлов, деталей) под сварку на прихватках;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эксплуатировании оборудования для сварки; 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выполнении предварительного, сопутствующего (межслойного) подогрева свариваемых кромок; 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выполнении зачистки швов после сварки; 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использовании измерительного инструмента для контроля геометрических размеров сварного шва; определении причин дефектов сварочных швов и соединений; предупреждения и устранения различных видов дефектов в сварных швах.</w:t>
            </w:r>
          </w:p>
        </w:tc>
      </w:tr>
      <w:tr>
        <w:trPr>
          <w:trHeight w:val="409" w:hRule="auto"/>
          <w:jc w:val="left"/>
        </w:trPr>
        <w:tc>
          <w:tcPr>
            <w:tcW w:w="1922" w:type="dxa"/>
            <w:tcBorders>
              <w:top w:val="single" w:color="000000" w:sz="5"/>
              <w:left w:val="single" w:color="000009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Знать: 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620" w:type="dxa"/>
            <w:tcBorders>
              <w:top w:val="single" w:color="000000" w:sz="5"/>
              <w:left w:val="single" w:color="000009" w:sz="5"/>
              <w:bottom w:val="single" w:color="000000" w:sz="5"/>
              <w:right w:val="single" w:color="000009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основы теории сварочных процессов (понятия: сварочный термический цикл, сварочные деформации и напряжения); 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необходимость проведения подогрева при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сварке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классификацию и общие представления о методах и способах сварки; 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типы, конструктивные элементы, размеры сварных соединений и обозначение их на чертежах;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влияние основных параметров режима и пространственного положения при сварке на формирование сварного шва; 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типы, конструктивные элементы, разделки кромок;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основы технологии сварочного производства;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виды и назначение сборочных, технологических приспособлений и оснастки основные правила чтения технологической документации;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дефектов сварного шва; методы неразрушающего контроля; 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причины возникновения и меры предупреждения видимых дефектов; способы устранения дефектов сварных швов;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 подготовки кромок изделий под сварку;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устройство вспомогательного оборудования, назначение, правила его эксплуатации и область применения;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 сборки элементов конструкции под сварку;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порядок проведения работ по предварительному, сопутствующему (межслойному) подогреву металла;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устройство сварочного оборудования, назначение, правила его эксплуатации 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область применения; правила технической эксплуатации электроустановок; классификацию сварочного оборудования и материалов; основные принципы работы источников питания для сварки; правила хранения и транспортировки сварочных материалов;</w:t>
            </w:r>
          </w:p>
        </w:tc>
      </w:tr>
      <w:tr>
        <w:trPr>
          <w:trHeight w:val="1819" w:hRule="auto"/>
          <w:jc w:val="left"/>
        </w:trPr>
        <w:tc>
          <w:tcPr>
            <w:tcW w:w="1922" w:type="dxa"/>
            <w:tcBorders>
              <w:top w:val="single" w:color="000000" w:sz="5"/>
              <w:left w:val="single" w:color="000009" w:sz="5"/>
              <w:bottom w:val="single" w:color="000009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620" w:type="dxa"/>
            <w:tcBorders>
              <w:top w:val="single" w:color="000000" w:sz="5"/>
              <w:left w:val="single" w:color="000009" w:sz="5"/>
              <w:bottom w:val="single" w:color="000009" w:sz="5"/>
              <w:right w:val="single" w:color="000009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использовать ручной и механизированный инструмент зачистки сварных швов и удаления поверхностных дефектов после сварки;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проверять работоспособность и исправность оборудования поста для сварки; 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использовать ручной и механизированный инструмент для подготовки элементов конструкции (изделий, узлов, деталей) под сварку;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применять сборочные приспособления для сборки элементов конструкции (изделий, узлов, деталей) под сварку;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подготавливать сварочные материалы к сварке;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зачищать швы после сварки; </w:t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pacing w:before="0" w:after="0" w:line="240"/>
              <w:ind w:right="0" w:left="72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пользоваться производственно-технологической и нормативной документацией для выполнения трудовых функций; </w:t>
            </w:r>
          </w:p>
        </w:tc>
      </w:tr>
    </w:tbl>
    <w:p>
      <w:pPr>
        <w:tabs>
          <w:tab w:val="left" w:pos="1121" w:leader="none"/>
        </w:tabs>
        <w:spacing w:before="0" w:after="0" w:line="240"/>
        <w:ind w:right="0" w:left="709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6" w:after="0" w:line="240"/>
        <w:ind w:right="8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256" w:firstLine="453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результате освоения профессионального модуля студент должен:</w:t>
      </w:r>
    </w:p>
    <w:tbl>
      <w:tblPr>
        <w:tblInd w:w="122" w:type="dxa"/>
      </w:tblPr>
      <w:tblGrid>
        <w:gridCol w:w="1840"/>
        <w:gridCol w:w="7805"/>
      </w:tblGrid>
      <w:tr>
        <w:trPr>
          <w:trHeight w:val="1432" w:hRule="auto"/>
          <w:jc w:val="left"/>
        </w:trPr>
        <w:tc>
          <w:tcPr>
            <w:tcW w:w="1840" w:type="dxa"/>
            <w:tcBorders>
              <w:top w:val="single" w:color="000009" w:sz="4"/>
              <w:left w:val="single" w:color="000009" w:sz="4"/>
              <w:bottom w:val="single" w:color="000009" w:sz="4"/>
              <w:right w:val="single" w:color="000009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практический опыт (ПО)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в:</w:t>
            </w:r>
          </w:p>
        </w:tc>
        <w:tc>
          <w:tcPr>
            <w:tcW w:w="7805" w:type="dxa"/>
            <w:tcBorders>
              <w:top w:val="single" w:color="000009" w:sz="4"/>
              <w:left w:val="single" w:color="000009" w:sz="4"/>
              <w:bottom w:val="single" w:color="000000" w:sz="4"/>
              <w:right w:val="single" w:color="000009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Подготовки автомобиля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 ремонту.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Оформления первичной документации для ремонта.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Демонтажа и монтажа двигателя автомобиля; разборки и сборки его механизмов и систем, замене его отдельных деталей.</w:t>
            </w:r>
          </w:p>
          <w:p>
            <w:pPr>
              <w:spacing w:before="0" w:after="0" w:line="276"/>
              <w:ind w:right="0" w:left="0" w:firstLine="30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Демонтажа и монтажа узлов и элементов электрических и электронных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систем, автомобиля,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узлов и механизмов автомобильных трансмиссий, хо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довой части и систем управления автомобилей,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элементов кузова, кабины, платформы, их замены.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Проведения технических измерений с применением соответствующего инструмента и оборудования.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Ремонта деталей, систем и механизмов двигателя, узлов и элементов электрических и электронных систем, механизмов, узлов и деталей автомобильных трансмиссий, узлов и механизмов ходовой части и систем управления автомобилей. Восстановления деталей, узлов и кузова автомобиля. Окраски кузова и деталей кузова автомобиля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Регулировки, испытания систем и механизмов двигателя, узлов и элементов электрических и электронных систем, узлов и механизмов ходовой части систем управления, автомобильных трансмиссий после ремонта.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Проверки состояния узлов и элементов электрических и электронных систем соответствующим  инструментом и приборами..</w:t>
            </w:r>
          </w:p>
        </w:tc>
      </w:tr>
      <w:tr>
        <w:trPr>
          <w:trHeight w:val="853" w:hRule="auto"/>
          <w:jc w:val="left"/>
        </w:trPr>
        <w:tc>
          <w:tcPr>
            <w:tcW w:w="1840" w:type="dxa"/>
            <w:tcBorders>
              <w:top w:val="single" w:color="000009" w:sz="4"/>
              <w:left w:val="single" w:color="000009" w:sz="4"/>
              <w:bottom w:val="single" w:color="000009" w:sz="4"/>
              <w:right w:val="single" w:color="000009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</w:p>
        </w:tc>
        <w:tc>
          <w:tcPr>
            <w:tcW w:w="7805" w:type="dxa"/>
            <w:tcBorders>
              <w:top w:val="single" w:color="000009" w:sz="4"/>
              <w:left w:val="single" w:color="000009" w:sz="4"/>
              <w:bottom w:val="single" w:color="000000" w:sz="4"/>
              <w:right w:val="single" w:color="000009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Оформлять учетную документацию. Работать с каталогами деталей.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Использовать уборочно-моечное и технологическое оборудование. Снимать и устанавливать узлы и детали механизмов и систем двигателя, элементы электрооборудования, электрических и электронных систем автомобиля, узлы и детали автомобильных трансмиссий, ходовой части и систем управления, кузова, кабины, платформы; разбирать и собирать двигатель.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Использовать специальный инструмент и оборудование при разборочно-сборочных работах.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Выполнять метрологическую поверку средств измерений.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Производить замеры деталей и параметров двигателя, кузова, изнашиваемых деталей и изменяемых параметров ходовой части и систем управления, деталей трансмиссий контрольно-измерительными приборами и инструментами. Проверять комплектность ходовой части и механизмов управления автомобилей.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Проводить проверку работы двигателя, электрооборудования, электрических и электронных систем, автомобильных трансмиссий, узлов и механизмов ходовой части и систем управления автомобилей, проверку исправности узлов и элементов электрических и электронных систем контрольно-измерительными приборами и инструментами.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Выбирать и использовать инструменты и приспособления для слесарных работ, приборы и оборудование для контроля исправности узлов и элементов электрических и электронных систем, ремонта кузова и его деталей.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неисправности и объем работ по их устранению, способы и средства ремонта. Устранять выявленные неисправности.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основные свойства материалов по маркам; выбирать материалы на основе анализа их свойств для конкретного применения.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Регулировать: механизмы двигателя и системы, параметры электрических и электронных систем и их узлов, механизмы трансмиссий, параметры установки деталей ходовой части и систем управления автомобилей в соответствии с технологической документацией.</w:t>
            </w:r>
          </w:p>
          <w:p>
            <w:pPr>
              <w:spacing w:before="0" w:after="0" w:line="276"/>
              <w:ind w:right="0" w:left="0" w:firstLine="307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Соблюдать меры безопасности при работе с электрооборудованием и электрическими инструментами, безопасные условия труда в профессиональной деятельности.</w:t>
            </w:r>
          </w:p>
        </w:tc>
      </w:tr>
      <w:tr>
        <w:trPr>
          <w:trHeight w:val="274" w:hRule="auto"/>
          <w:jc w:val="left"/>
        </w:trPr>
        <w:tc>
          <w:tcPr>
            <w:tcW w:w="1840" w:type="dxa"/>
            <w:tcBorders>
              <w:top w:val="single" w:color="000009" w:sz="4"/>
              <w:left w:val="single" w:color="000009" w:sz="4"/>
              <w:bottom w:val="single" w:color="000009" w:sz="4"/>
              <w:right w:val="single" w:color="000009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</w:p>
        </w:tc>
        <w:tc>
          <w:tcPr>
            <w:tcW w:w="7805" w:type="dxa"/>
            <w:tcBorders>
              <w:top w:val="single" w:color="000000" w:sz="4"/>
              <w:left w:val="single" w:color="000009" w:sz="4"/>
              <w:bottom w:val="single" w:color="000000" w:sz="4"/>
              <w:right w:val="single" w:color="000009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44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автомобильных двигателей, узлов и элементов электрических и электронных систем, автомобильных трансмиссий, ходовой части и механизмов управления, автомобильных кузовов и кабин автомобилей.</w:t>
            </w:r>
          </w:p>
          <w:p>
            <w:pPr>
              <w:spacing w:before="0" w:after="0" w:line="276"/>
              <w:ind w:right="0" w:left="0" w:firstLine="44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Назначение и взаимодействие узлов и систем двигателей, элементов электрических и электронных систем, узлов трансмиссии, ходовой части и механизмов управления. Оборудование и технологию испытания двигателей, автомобильных трансмиссий.</w:t>
            </w:r>
          </w:p>
          <w:p>
            <w:pPr>
              <w:spacing w:before="0" w:after="0" w:line="276"/>
              <w:ind w:right="0" w:left="0" w:firstLine="44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Формы и содержание учетной документации. Назначение и структуру каталогов деталей.</w:t>
            </w:r>
          </w:p>
          <w:p>
            <w:pPr>
              <w:spacing w:before="0" w:after="0" w:line="276"/>
              <w:ind w:right="0" w:left="0" w:firstLine="44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Характеристики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правила эксплуатации вспомогательного оборудования, специального инструмента, приспособлений и оборудования. Средства метрологии, стандартизации и сертификации.</w:t>
            </w:r>
          </w:p>
          <w:p>
            <w:pPr>
              <w:spacing w:before="0" w:after="0" w:line="276"/>
              <w:ind w:right="0" w:left="0" w:firstLine="44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Технологические требования к контролю деталей и состоянию систем, к контролю деталей и состоянию кузовов.</w:t>
            </w:r>
          </w:p>
          <w:p>
            <w:pPr>
              <w:spacing w:before="0" w:after="0" w:line="276"/>
              <w:ind w:right="0" w:left="0" w:firstLine="44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Порядок работы и использования контрольно-измерительных приборов и инструментов.</w:t>
            </w:r>
          </w:p>
          <w:p>
            <w:pPr>
              <w:spacing w:before="0" w:after="0" w:line="276"/>
              <w:ind w:right="0" w:left="0" w:firstLine="44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неисправности двигателя, его систем и механизмов, элементов и узлов электрических и электронных систем, автомобильных трансмиссий, их систем и механизмов, ходовой части автомобиля, систем управления,  кузова автомобиля; причины и способы устранения неисправностей. Способы и средства ремонта и восстановления деталей двигателя, узлов и элементов электрических и электронных систем, узлов автомобильных трансмиссий, узлов и деталей ходовой части, систем управления и их узлов, кузовов, кабин и их деталей, лакокрасочного покрытия кузова и его деталей.</w:t>
            </w:r>
          </w:p>
          <w:p>
            <w:pPr>
              <w:spacing w:before="0" w:after="0" w:line="276"/>
              <w:ind w:right="0" w:left="0" w:firstLine="449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Технологические процессы разборки-сборки узлов и систем автомобильных двигателей, электрооборудования, узлов и элементов электрических и электронных систем, узлов и систем автомобильных трансмиссий, узлов и механизмов ходовой части и систем управления автомобилей, кузова, кабины и платформы.</w:t>
            </w:r>
          </w:p>
          <w:p>
            <w:pPr>
              <w:spacing w:before="0" w:after="0" w:line="276"/>
              <w:ind w:right="0" w:left="0" w:firstLine="449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свойства, классификацию, характеристики, области применения материалов. Специальные технологии окраски.</w:t>
            </w:r>
          </w:p>
          <w:p>
            <w:pPr>
              <w:spacing w:before="0" w:after="0" w:line="276"/>
              <w:ind w:right="0" w:left="0" w:firstLine="44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Технические условия на регулировку и испытания двигателя, его систем и механизмов; узлов электрооборудования автомобиля, автомобильных трансмиссий, узлов трансмиссии, узлов и механизмов ходовой части и систем управления автомобилей. Технологические требования для проверки исправности приборов и элементов электрических и электронных систем.</w:t>
            </w:r>
          </w:p>
          <w:p>
            <w:pPr>
              <w:spacing w:before="0" w:after="0" w:line="276"/>
              <w:ind w:right="0" w:left="0" w:firstLine="449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</w:t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tbl>
      <w:tblPr/>
      <w:tblGrid>
        <w:gridCol w:w="1100"/>
        <w:gridCol w:w="8519"/>
      </w:tblGrid>
      <w:tr>
        <w:trPr>
          <w:trHeight w:val="23" w:hRule="auto"/>
          <w:jc w:val="left"/>
        </w:trPr>
        <w:tc>
          <w:tcPr>
            <w:tcW w:w="11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836967" w:sz="0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Код</w:t>
            </w:r>
          </w:p>
        </w:tc>
        <w:tc>
          <w:tcPr>
            <w:tcW w:w="851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 личностных результатов</w:t>
            </w:r>
          </w:p>
        </w:tc>
      </w:tr>
      <w:tr>
        <w:trPr>
          <w:trHeight w:val="23" w:hRule="auto"/>
          <w:jc w:val="left"/>
        </w:trPr>
        <w:tc>
          <w:tcPr>
            <w:tcW w:w="11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836967" w:sz="0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ЛР 13 </w:t>
            </w:r>
          </w:p>
        </w:tc>
        <w:tc>
          <w:tcPr>
            <w:tcW w:w="851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>
        <w:trPr>
          <w:trHeight w:val="23" w:hRule="auto"/>
          <w:jc w:val="left"/>
        </w:trPr>
        <w:tc>
          <w:tcPr>
            <w:tcW w:w="11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836967" w:sz="0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ЛР 26</w:t>
            </w:r>
          </w:p>
        </w:tc>
        <w:tc>
          <w:tcPr>
            <w:tcW w:w="851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 реализации содержания рабочей программы профессионального модуля ПМ 01.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Подготовительно-сварочные работы и контроль качества сварных швов после сварки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15.01.05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Сварщик (ручной и частично механизированной сварки (наплавки)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обьем образовательной нагрузки составляет 569ч.(в т.ч.учебной практики -144ч., производственной практики -144ч.).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Раздел1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МДК01.01. Основы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технологии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сварки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сварочное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оборудование</w:t>
      </w:r>
      <w:r>
        <w:rPr>
          <w:rFonts w:ascii="Mangal" w:hAnsi="Mangal" w:cs="Mangal" w:eastAsia="Mangal"/>
          <w:color w:val="auto"/>
          <w:spacing w:val="0"/>
          <w:position w:val="0"/>
          <w:sz w:val="24"/>
          <w:shd w:fill="auto" w:val="clear"/>
        </w:rPr>
        <w:t xml:space="preserve">.......59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Раздел2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МДК01.02 Технология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производства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сварных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конструкций……… ........83ч.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Раздел 3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МДК01.03.Подготовительные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сборочные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операции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перед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сваркой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.....83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Раздел 4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МДК01.04.Контроль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качества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сварных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соединений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..............................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...</w:t>
      </w:r>
      <w:r>
        <w:rPr>
          <w:rFonts w:ascii="Arial Narrow" w:hAnsi="Arial Narrow" w:cs="Arial Narrow" w:eastAsia="Arial Narrow"/>
          <w:color w:val="auto"/>
          <w:spacing w:val="0"/>
          <w:position w:val="0"/>
          <w:sz w:val="24"/>
          <w:shd w:fill="auto" w:val="clear"/>
        </w:rPr>
        <w:t xml:space="preserve">.57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Составитель: Кумыкова М.Х.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garant.ru/products/ipo/prime/doc/71240212/#0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